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E9" w:rsidRPr="006E615A" w:rsidRDefault="00CE53E9" w:rsidP="009E03F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lang w:eastAsia="pl-PL"/>
        </w:rPr>
      </w:pPr>
    </w:p>
    <w:p w:rsidR="009E03FF" w:rsidRPr="006E615A" w:rsidRDefault="008B2CB0" w:rsidP="00272AFC">
      <w:pPr>
        <w:spacing w:after="0" w:line="360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t>„Energetyka</w:t>
      </w:r>
      <w:r w:rsidR="00F22184"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” </w:t>
      </w:r>
      <w:r w:rsidR="009E03FF"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 sp. z o.o.</w:t>
      </w:r>
    </w:p>
    <w:p w:rsidR="00CE53E9" w:rsidRPr="006E615A" w:rsidRDefault="00CE53E9" w:rsidP="00272AFC">
      <w:pPr>
        <w:spacing w:after="0" w:line="360" w:lineRule="auto"/>
        <w:jc w:val="center"/>
        <w:rPr>
          <w:rFonts w:ascii="Arial Narrow" w:eastAsia="Times New Roman" w:hAnsi="Arial Narrow" w:cs="Times New Roman"/>
          <w:b/>
          <w:bCs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t>ul. M. Skłodowskiej-Curie 58, 59-301 Lubin</w:t>
      </w:r>
    </w:p>
    <w:p w:rsidR="009E03FF" w:rsidRPr="006E615A" w:rsidRDefault="00313538" w:rsidP="00272AFC">
      <w:pPr>
        <w:spacing w:after="0" w:line="360" w:lineRule="auto"/>
        <w:jc w:val="center"/>
        <w:rPr>
          <w:rFonts w:ascii="Arial Narrow" w:eastAsia="Times New Roman" w:hAnsi="Arial Narrow" w:cs="Times New Roman"/>
          <w:b/>
          <w:bCs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ogłasza </w:t>
      </w:r>
      <w:r w:rsidR="00F22184"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przetarg pisemny nieograniczony </w:t>
      </w:r>
      <w:r w:rsidR="009E03FF" w:rsidRPr="006E615A">
        <w:rPr>
          <w:rFonts w:ascii="Arial Narrow" w:eastAsia="Times New Roman" w:hAnsi="Arial Narrow" w:cs="Times New Roman"/>
          <w:b/>
          <w:bCs/>
          <w:lang w:eastAsia="pl-PL"/>
        </w:rPr>
        <w:t>na sprzedaż nieruchomości</w:t>
      </w:r>
    </w:p>
    <w:p w:rsidR="009E03FF" w:rsidRPr="006E615A" w:rsidRDefault="00597370" w:rsidP="00272AFC">
      <w:pPr>
        <w:spacing w:after="0" w:line="360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(własność </w:t>
      </w:r>
      <w:r w:rsidR="00F22184"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budowli </w:t>
      </w:r>
      <w:r w:rsidR="009E03FF" w:rsidRPr="006E615A">
        <w:rPr>
          <w:rFonts w:ascii="Arial Narrow" w:eastAsia="Times New Roman" w:hAnsi="Arial Narrow" w:cs="Times New Roman"/>
          <w:b/>
          <w:bCs/>
          <w:lang w:eastAsia="pl-PL"/>
        </w:rPr>
        <w:t>wraz z prawem użytkowania wieczystego</w:t>
      </w:r>
      <w:r w:rsidR="007C70FC"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 gruntu</w:t>
      </w:r>
      <w:r w:rsidR="009E03FF" w:rsidRPr="006E615A">
        <w:rPr>
          <w:rFonts w:ascii="Arial Narrow" w:eastAsia="Times New Roman" w:hAnsi="Arial Narrow" w:cs="Times New Roman"/>
          <w:b/>
          <w:bCs/>
          <w:lang w:eastAsia="pl-PL"/>
        </w:rPr>
        <w:t>)</w:t>
      </w:r>
    </w:p>
    <w:p w:rsidR="009E03FF" w:rsidRDefault="009E03FF" w:rsidP="00BE2394">
      <w:pPr>
        <w:pStyle w:val="Akapitzlist"/>
        <w:numPr>
          <w:ilvl w:val="0"/>
          <w:numId w:val="17"/>
        </w:numPr>
        <w:spacing w:before="100" w:beforeAutospacing="1" w:after="240" w:line="240" w:lineRule="auto"/>
        <w:ind w:left="426" w:hanging="426"/>
        <w:contextualSpacing w:val="0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BE2394">
        <w:rPr>
          <w:rFonts w:ascii="Arial Narrow" w:eastAsia="Times New Roman" w:hAnsi="Arial Narrow" w:cs="Times New Roman"/>
          <w:b/>
          <w:bCs/>
          <w:lang w:eastAsia="pl-PL"/>
        </w:rPr>
        <w:t>Opis nieruchomości p</w:t>
      </w:r>
      <w:r w:rsidR="00F22184" w:rsidRPr="00BE2394">
        <w:rPr>
          <w:rFonts w:ascii="Arial Narrow" w:eastAsia="Times New Roman" w:hAnsi="Arial Narrow" w:cs="Times New Roman"/>
          <w:b/>
          <w:bCs/>
          <w:lang w:eastAsia="pl-PL"/>
        </w:rPr>
        <w:t xml:space="preserve">ołożonej </w:t>
      </w:r>
      <w:r w:rsidR="0052293C" w:rsidRPr="00BE2394">
        <w:rPr>
          <w:rFonts w:ascii="Arial Narrow" w:eastAsia="Times New Roman" w:hAnsi="Arial Narrow" w:cs="Times New Roman"/>
          <w:b/>
          <w:bCs/>
          <w:lang w:eastAsia="pl-PL"/>
        </w:rPr>
        <w:t xml:space="preserve">w obrębie </w:t>
      </w:r>
      <w:proofErr w:type="spellStart"/>
      <w:r w:rsidR="006E615A" w:rsidRPr="00BE2394">
        <w:rPr>
          <w:rFonts w:ascii="Arial Narrow" w:eastAsia="Times New Roman" w:hAnsi="Arial Narrow" w:cs="Times New Roman"/>
          <w:b/>
          <w:bCs/>
          <w:lang w:eastAsia="pl-PL"/>
        </w:rPr>
        <w:t>Iwiny</w:t>
      </w:r>
      <w:proofErr w:type="spellEnd"/>
      <w:r w:rsidR="004D2501" w:rsidRPr="00BE2394">
        <w:rPr>
          <w:rFonts w:ascii="Arial Narrow" w:eastAsia="Times New Roman" w:hAnsi="Arial Narrow" w:cs="Times New Roman"/>
          <w:b/>
          <w:bCs/>
          <w:lang w:eastAsia="pl-PL"/>
        </w:rPr>
        <w:t>,</w:t>
      </w:r>
      <w:r w:rsidR="0052293C" w:rsidRPr="00BE2394">
        <w:rPr>
          <w:rFonts w:ascii="Arial Narrow" w:eastAsia="Times New Roman" w:hAnsi="Arial Narrow" w:cs="Times New Roman"/>
          <w:b/>
          <w:bCs/>
          <w:lang w:eastAsia="pl-PL"/>
        </w:rPr>
        <w:t xml:space="preserve"> gmina </w:t>
      </w:r>
      <w:r w:rsidR="006E615A" w:rsidRPr="00BE2394">
        <w:rPr>
          <w:rFonts w:ascii="Arial Narrow" w:eastAsia="Times New Roman" w:hAnsi="Arial Narrow" w:cs="Times New Roman"/>
          <w:b/>
          <w:bCs/>
          <w:lang w:eastAsia="pl-PL"/>
        </w:rPr>
        <w:t>Warta Bolesławiecka</w:t>
      </w:r>
      <w:r w:rsidR="004D2501" w:rsidRPr="00BE2394">
        <w:rPr>
          <w:rFonts w:ascii="Arial Narrow" w:eastAsia="Times New Roman" w:hAnsi="Arial Narrow" w:cs="Times New Roman"/>
          <w:b/>
          <w:bCs/>
          <w:lang w:eastAsia="pl-PL"/>
        </w:rPr>
        <w:t>,</w:t>
      </w:r>
      <w:r w:rsidR="00157435" w:rsidRPr="00BE2394">
        <w:rPr>
          <w:rFonts w:ascii="Arial Narrow" w:eastAsia="Times New Roman" w:hAnsi="Arial Narrow" w:cs="Times New Roman"/>
          <w:b/>
          <w:bCs/>
          <w:lang w:eastAsia="pl-PL"/>
        </w:rPr>
        <w:t xml:space="preserve"> województwo dolnośląskie:</w:t>
      </w:r>
    </w:p>
    <w:p w:rsidR="00783242" w:rsidRPr="00783242" w:rsidRDefault="00BE2394" w:rsidP="0078324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hAnsi="Arial Narrow"/>
        </w:rPr>
      </w:pPr>
      <w:r w:rsidRPr="00783242">
        <w:rPr>
          <w:rFonts w:ascii="Arial Narrow" w:eastAsia="Times New Roman" w:hAnsi="Arial Narrow" w:cs="Times New Roman"/>
          <w:lang w:eastAsia="pl-PL"/>
        </w:rPr>
        <w:t xml:space="preserve">Prawo użytkowania wieczystego </w:t>
      </w:r>
      <w:bookmarkStart w:id="0" w:name="_Hlk224199699"/>
      <w:r w:rsidRPr="00783242">
        <w:rPr>
          <w:rFonts w:ascii="Arial Narrow" w:eastAsia="Times New Roman" w:hAnsi="Arial Narrow" w:cs="Times New Roman"/>
          <w:lang w:eastAsia="pl-PL"/>
        </w:rPr>
        <w:t>nieruchomości, obejmującej działk</w:t>
      </w:r>
      <w:r w:rsidR="00783242" w:rsidRPr="00783242">
        <w:rPr>
          <w:rFonts w:ascii="Arial Narrow" w:eastAsia="Times New Roman" w:hAnsi="Arial Narrow" w:cs="Times New Roman"/>
          <w:lang w:eastAsia="pl-PL"/>
        </w:rPr>
        <w:t>i</w:t>
      </w:r>
      <w:r w:rsidRPr="00783242">
        <w:rPr>
          <w:rFonts w:ascii="Arial Narrow" w:eastAsia="Times New Roman" w:hAnsi="Arial Narrow" w:cs="Times New Roman"/>
          <w:lang w:eastAsia="pl-PL"/>
        </w:rPr>
        <w:t xml:space="preserve"> gruntu o numer</w:t>
      </w:r>
      <w:r w:rsidR="00783242" w:rsidRPr="00783242">
        <w:rPr>
          <w:rFonts w:ascii="Arial Narrow" w:eastAsia="Times New Roman" w:hAnsi="Arial Narrow" w:cs="Times New Roman"/>
          <w:lang w:eastAsia="pl-PL"/>
        </w:rPr>
        <w:t xml:space="preserve">ach </w:t>
      </w:r>
      <w:r w:rsidRPr="00783242">
        <w:rPr>
          <w:rFonts w:ascii="Arial Narrow" w:eastAsia="Times New Roman" w:hAnsi="Arial Narrow" w:cs="Times New Roman"/>
          <w:lang w:eastAsia="pl-PL"/>
        </w:rPr>
        <w:t>ewidencyjny</w:t>
      </w:r>
      <w:r w:rsidR="00783242" w:rsidRPr="00783242">
        <w:rPr>
          <w:rFonts w:ascii="Arial Narrow" w:eastAsia="Times New Roman" w:hAnsi="Arial Narrow" w:cs="Times New Roman"/>
          <w:lang w:eastAsia="pl-PL"/>
        </w:rPr>
        <w:t>ch</w:t>
      </w:r>
      <w:bookmarkEnd w:id="0"/>
      <w:r w:rsidR="00783242" w:rsidRPr="00783242">
        <w:rPr>
          <w:rFonts w:ascii="Arial Narrow" w:eastAsia="Times New Roman" w:hAnsi="Arial Narrow" w:cs="Times New Roman"/>
          <w:lang w:eastAsia="pl-PL"/>
        </w:rPr>
        <w:t xml:space="preserve">: </w:t>
      </w:r>
    </w:p>
    <w:p w:rsidR="00BE2394" w:rsidRPr="00783242" w:rsidRDefault="00BE2394" w:rsidP="0078324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993" w:hanging="284"/>
        <w:jc w:val="both"/>
        <w:rPr>
          <w:rFonts w:ascii="Arial Narrow" w:hAnsi="Arial Narrow"/>
        </w:rPr>
      </w:pPr>
      <w:bookmarkStart w:id="1" w:name="_Hlk224199742"/>
      <w:r w:rsidRPr="00783242">
        <w:rPr>
          <w:rFonts w:ascii="Arial Narrow" w:hAnsi="Arial Narrow"/>
        </w:rPr>
        <w:t xml:space="preserve">426/66, 426/100, 426/102, 426/104 o łącznej pow. 0,6220 ha, obręb </w:t>
      </w:r>
      <w:proofErr w:type="spellStart"/>
      <w:r w:rsidRPr="00783242">
        <w:rPr>
          <w:rFonts w:ascii="Arial Narrow" w:hAnsi="Arial Narrow"/>
        </w:rPr>
        <w:t>Iwiny</w:t>
      </w:r>
      <w:proofErr w:type="spellEnd"/>
      <w:r w:rsidRPr="00783242">
        <w:rPr>
          <w:rFonts w:ascii="Arial Narrow" w:hAnsi="Arial Narrow"/>
        </w:rPr>
        <w:t xml:space="preserve">, gmina Warta Bolesławiecka, powiat bolesławiecki, dla których Sąd Rejonowy w Złotoryi prowadzi księgę wieczystą pod nr JG1B/00033722/7, wraz z zabudowaniami:  </w:t>
      </w:r>
    </w:p>
    <w:p w:rsidR="00BE2394" w:rsidRPr="00783242" w:rsidRDefault="00BE2394" w:rsidP="003809D5">
      <w:pPr>
        <w:pStyle w:val="Akapitzlist"/>
        <w:numPr>
          <w:ilvl w:val="0"/>
          <w:numId w:val="16"/>
        </w:numPr>
        <w:spacing w:after="0" w:line="276" w:lineRule="auto"/>
        <w:ind w:left="1276" w:hanging="283"/>
        <w:jc w:val="both"/>
        <w:rPr>
          <w:rFonts w:ascii="Arial Narrow" w:hAnsi="Arial Narrow"/>
        </w:rPr>
      </w:pPr>
      <w:r w:rsidRPr="00783242">
        <w:rPr>
          <w:rFonts w:ascii="Arial Narrow" w:hAnsi="Arial Narrow"/>
        </w:rPr>
        <w:t>budynek kotłowni wraz z infrastrukturą techniczną zlokalizowany na działce nr 426/66;</w:t>
      </w:r>
    </w:p>
    <w:p w:rsidR="00BE2394" w:rsidRPr="00783242" w:rsidRDefault="00BE2394" w:rsidP="003809D5">
      <w:pPr>
        <w:pStyle w:val="Akapitzlist"/>
        <w:numPr>
          <w:ilvl w:val="0"/>
          <w:numId w:val="16"/>
        </w:numPr>
        <w:spacing w:after="0" w:line="276" w:lineRule="auto"/>
        <w:ind w:left="1276" w:hanging="283"/>
        <w:jc w:val="both"/>
        <w:rPr>
          <w:rFonts w:ascii="Arial Narrow" w:hAnsi="Arial Narrow"/>
        </w:rPr>
      </w:pPr>
      <w:r w:rsidRPr="00783242">
        <w:rPr>
          <w:rFonts w:ascii="Arial Narrow" w:hAnsi="Arial Narrow"/>
        </w:rPr>
        <w:t>budowle oznaczone jako zbiorniki retencyjno-wyrównawcze zlokalizowane na działce nr 426/104;</w:t>
      </w:r>
    </w:p>
    <w:p w:rsidR="00BE2394" w:rsidRPr="00783242" w:rsidRDefault="00783242" w:rsidP="0078324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993" w:hanging="284"/>
        <w:jc w:val="both"/>
        <w:rPr>
          <w:rFonts w:ascii="Arial Narrow" w:hAnsi="Arial Narrow"/>
        </w:rPr>
      </w:pPr>
      <w:r w:rsidRPr="00783242">
        <w:rPr>
          <w:rFonts w:ascii="Arial Narrow" w:hAnsi="Arial Narrow"/>
        </w:rPr>
        <w:t>4</w:t>
      </w:r>
      <w:r w:rsidR="00BE2394" w:rsidRPr="00783242">
        <w:rPr>
          <w:rFonts w:ascii="Arial Narrow" w:hAnsi="Arial Narrow"/>
        </w:rPr>
        <w:t xml:space="preserve">26/106 o pow. 0,0760 ha, obręb </w:t>
      </w:r>
      <w:proofErr w:type="spellStart"/>
      <w:r w:rsidR="00BE2394" w:rsidRPr="00783242">
        <w:rPr>
          <w:rFonts w:ascii="Arial Narrow" w:hAnsi="Arial Narrow"/>
        </w:rPr>
        <w:t>Iwiny</w:t>
      </w:r>
      <w:proofErr w:type="spellEnd"/>
      <w:r w:rsidR="00BE2394" w:rsidRPr="00783242">
        <w:rPr>
          <w:rFonts w:ascii="Arial Narrow" w:hAnsi="Arial Narrow"/>
        </w:rPr>
        <w:t>, gmina Warta Bolesławiecka, powiat bolesławiecki, dla której Sąd Rejonowy w Złotoryi prowadzi księgę wieczystą pod nr JG1B/00033723/4</w:t>
      </w:r>
      <w:r w:rsidR="003809D5">
        <w:rPr>
          <w:rFonts w:ascii="Arial Narrow" w:hAnsi="Arial Narrow"/>
        </w:rPr>
        <w:t>.</w:t>
      </w:r>
    </w:p>
    <w:bookmarkEnd w:id="1"/>
    <w:p w:rsidR="00783242" w:rsidRPr="00174760" w:rsidRDefault="00783242" w:rsidP="00783242">
      <w:pPr>
        <w:spacing w:after="0"/>
        <w:ind w:left="709"/>
        <w:jc w:val="both"/>
        <w:rPr>
          <w:rFonts w:ascii="Arial Narrow" w:hAnsi="Arial Narrow" w:cs="Arial"/>
          <w:szCs w:val="20"/>
        </w:rPr>
      </w:pPr>
      <w:r w:rsidRPr="00174760">
        <w:rPr>
          <w:rFonts w:ascii="Arial Narrow" w:hAnsi="Arial Narrow" w:cs="Arial"/>
          <w:szCs w:val="20"/>
        </w:rPr>
        <w:t xml:space="preserve">Przedmiotowa nieruchomość (działki nr </w:t>
      </w:r>
      <w:r w:rsidRPr="00174760">
        <w:rPr>
          <w:rFonts w:ascii="Arial Narrow" w:hAnsi="Arial Narrow"/>
          <w:szCs w:val="20"/>
        </w:rPr>
        <w:t xml:space="preserve">426/66, 426/100, 426/102, 426/104, 426/106) </w:t>
      </w:r>
      <w:r w:rsidRPr="00174760">
        <w:rPr>
          <w:rFonts w:ascii="Arial Narrow" w:hAnsi="Arial Narrow" w:cs="Arial"/>
          <w:szCs w:val="20"/>
        </w:rPr>
        <w:t xml:space="preserve">zlokalizowana jest we wschodniej części obrębu Iwin (gmina </w:t>
      </w:r>
      <w:r w:rsidRPr="00174760">
        <w:rPr>
          <w:rFonts w:ascii="Arial Narrow" w:hAnsi="Arial Narrow"/>
          <w:szCs w:val="20"/>
        </w:rPr>
        <w:t>Warta Bolesławiecka</w:t>
      </w:r>
      <w:r w:rsidRPr="00174760">
        <w:rPr>
          <w:rFonts w:ascii="Arial Narrow" w:hAnsi="Arial Narrow" w:cs="Arial"/>
          <w:szCs w:val="20"/>
        </w:rPr>
        <w:t>), na jego obrzeżach. W sąsiedztwie znajdują się tereny zabudowane budynkami o funkcji przemysłowo-usługowej oraz tereny zalesione.</w:t>
      </w:r>
    </w:p>
    <w:p w:rsidR="00BE2394" w:rsidRPr="00701B91" w:rsidRDefault="00783242" w:rsidP="00783242">
      <w:pPr>
        <w:pStyle w:val="Akapitzlist"/>
        <w:spacing w:before="100" w:beforeAutospacing="1" w:after="100" w:afterAutospacing="1" w:line="240" w:lineRule="auto"/>
        <w:jc w:val="both"/>
        <w:rPr>
          <w:rFonts w:ascii="Arial Narrow" w:hAnsi="Arial Narrow" w:cs="Arial"/>
        </w:rPr>
      </w:pPr>
      <w:r w:rsidRPr="00174760">
        <w:rPr>
          <w:rFonts w:ascii="Arial Narrow" w:hAnsi="Arial Narrow" w:cs="Arial"/>
          <w:szCs w:val="20"/>
        </w:rPr>
        <w:t xml:space="preserve">Działka </w:t>
      </w:r>
      <w:r w:rsidRPr="00174760">
        <w:rPr>
          <w:rFonts w:ascii="Arial Narrow" w:hAnsi="Arial Narrow"/>
          <w:szCs w:val="20"/>
        </w:rPr>
        <w:t xml:space="preserve">nr 426/66 zabudowana jest budynkiem nieużytkowanej </w:t>
      </w:r>
      <w:r w:rsidRPr="00174760">
        <w:rPr>
          <w:rFonts w:ascii="Arial Narrow" w:hAnsi="Arial Narrow" w:cs="Arial"/>
          <w:szCs w:val="20"/>
        </w:rPr>
        <w:t>kotłowni, działka nr 426/100 stanowi drogę dojazdową, działka nr 426/104 zabudowana jest zbiornikami retencyjno-wyrównawczymi oraz częściowo jest porośnięta roślinnością okrywową niską wraz z zadrzewieniem, natomiast działki nr 426/102 oraz 426/106 są niezabudowane, porośnięte roślinnością okrywową. Budynek kotłowni o powierzchni całkowitej 1024,20 m</w:t>
      </w:r>
      <w:r w:rsidRPr="00174760">
        <w:rPr>
          <w:rFonts w:ascii="Arial Narrow" w:hAnsi="Arial Narrow" w:cs="Arial"/>
          <w:szCs w:val="20"/>
          <w:vertAlign w:val="superscript"/>
        </w:rPr>
        <w:t>2</w:t>
      </w:r>
      <w:r w:rsidRPr="00174760">
        <w:rPr>
          <w:rFonts w:ascii="Arial Narrow" w:hAnsi="Arial Narrow" w:cs="Arial"/>
          <w:szCs w:val="20"/>
        </w:rPr>
        <w:t xml:space="preserve"> wybudowano w latach 50-tych i 60-tych ubiegłego wieku, zbiorniki retencyjno-wyrównawcze wybudowane zostały w roku 2000. Obszar działek nr </w:t>
      </w:r>
      <w:r w:rsidRPr="00174760">
        <w:rPr>
          <w:rFonts w:ascii="Arial Narrow" w:hAnsi="Arial Narrow"/>
          <w:szCs w:val="20"/>
        </w:rPr>
        <w:t>426/66, 426/102, 426/104, 426/106</w:t>
      </w:r>
      <w:r w:rsidRPr="00174760">
        <w:rPr>
          <w:rFonts w:ascii="Arial Narrow" w:hAnsi="Arial Narrow" w:cs="Arial"/>
          <w:szCs w:val="20"/>
        </w:rPr>
        <w:t xml:space="preserve"> oznaczony jako kompleks funkcyjny posiada kształt w miarę regularny. Teren działek jest częściowo ogrodzony siatką w ramkach. Przez działki przebiegają sieci infrastruktury technicznej.</w:t>
      </w:r>
      <w:r w:rsidR="003809D5">
        <w:rPr>
          <w:rFonts w:ascii="Arial Narrow" w:hAnsi="Arial Narrow" w:cs="Arial"/>
          <w:color w:val="FF0000"/>
        </w:rPr>
        <w:t xml:space="preserve"> </w:t>
      </w:r>
      <w:r w:rsidR="003809D5" w:rsidRPr="00701B91">
        <w:rPr>
          <w:rFonts w:ascii="Arial Narrow" w:hAnsi="Arial Narrow" w:cs="Arial"/>
        </w:rPr>
        <w:t>Nieruchomość nie posiada własnego dojazdu do drogi publicznej.</w:t>
      </w:r>
    </w:p>
    <w:p w:rsidR="00BE2394" w:rsidRPr="00E1384D" w:rsidRDefault="00BE2394" w:rsidP="00BE2394">
      <w:pPr>
        <w:pStyle w:val="Akapitzlist"/>
        <w:spacing w:before="100" w:beforeAutospacing="1" w:after="100" w:afterAutospacing="1" w:line="240" w:lineRule="auto"/>
        <w:jc w:val="both"/>
        <w:rPr>
          <w:rFonts w:ascii="Arial Narrow" w:hAnsi="Arial Narrow" w:cs="Arial"/>
          <w:color w:val="FF0000"/>
        </w:rPr>
      </w:pPr>
    </w:p>
    <w:p w:rsidR="00BE2394" w:rsidRPr="006E615A" w:rsidRDefault="00BE2394" w:rsidP="00A57F0B">
      <w:pPr>
        <w:pStyle w:val="Akapitzlist"/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Nieruchomość gruntowa stanowi własność Skarbu Państwa, w użytkowaniu wieczystym Spółki „Energetyka” sp. z o.o., należącej do Grupy Kapitałowej KGHM Polska Miedź S.A.</w:t>
      </w:r>
    </w:p>
    <w:p w:rsidR="00BE2394" w:rsidRPr="00E1384D" w:rsidRDefault="00BE2394" w:rsidP="00EB4D41">
      <w:pPr>
        <w:pStyle w:val="Akapitzlist"/>
        <w:numPr>
          <w:ilvl w:val="0"/>
          <w:numId w:val="8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E1384D">
        <w:rPr>
          <w:rFonts w:ascii="Arial Narrow" w:eastAsia="Times New Roman" w:hAnsi="Arial Narrow" w:cs="Times New Roman"/>
          <w:lang w:eastAsia="pl-PL"/>
        </w:rPr>
        <w:t xml:space="preserve">Zgodnie z uchwałą  Nr LII/558/23 Rady Gminy Warta Bolesławiecka z dnia 31 października 2023 r.  </w:t>
      </w:r>
      <w:r w:rsidRPr="00E1384D">
        <w:rPr>
          <w:rFonts w:ascii="Arial Narrow" w:eastAsia="Times New Roman" w:hAnsi="Arial Narrow" w:cs="Times New Roman"/>
          <w:lang w:eastAsia="pl-PL"/>
        </w:rPr>
        <w:br/>
        <w:t xml:space="preserve">w sprawie uchwalenia miejscowego planu zagospodarowania przestrzennego gminy Warta Bolesławiecka w granicach ewidencyjnych obrębów: </w:t>
      </w:r>
      <w:proofErr w:type="spellStart"/>
      <w:r w:rsidRPr="00E1384D">
        <w:rPr>
          <w:rFonts w:ascii="Arial Narrow" w:eastAsia="Times New Roman" w:hAnsi="Arial Narrow" w:cs="Times New Roman"/>
          <w:lang w:eastAsia="pl-PL"/>
        </w:rPr>
        <w:t>Iwiny</w:t>
      </w:r>
      <w:proofErr w:type="spellEnd"/>
      <w:r w:rsidRPr="00E1384D">
        <w:rPr>
          <w:rFonts w:ascii="Arial Narrow" w:eastAsia="Times New Roman" w:hAnsi="Arial Narrow" w:cs="Times New Roman"/>
          <w:lang w:eastAsia="pl-PL"/>
        </w:rPr>
        <w:t xml:space="preserve"> i Lubków, teren przedmiotowej nieruchomości oznaczony jest symbolem I-OZE/P/U1 – podstawowe przeznaczenie terenu to – tereny lokalizacji urządzeń odnawialnych źródeł energii na terenach obiektów produkcyjnych, składów i magazynów oraz zabudowy usługowej. </w:t>
      </w:r>
    </w:p>
    <w:p w:rsidR="00BE2394" w:rsidRPr="00725DEF" w:rsidRDefault="00BE2394" w:rsidP="00EB4D41">
      <w:pPr>
        <w:pStyle w:val="Akapitzlist"/>
        <w:numPr>
          <w:ilvl w:val="0"/>
          <w:numId w:val="8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725DEF">
        <w:rPr>
          <w:rFonts w:ascii="Arial Narrow" w:eastAsia="Times New Roman" w:hAnsi="Arial Narrow" w:cs="Times New Roman"/>
          <w:lang w:eastAsia="pl-PL"/>
        </w:rPr>
        <w:t xml:space="preserve">Według zapisów w ewidencji gruntów działki </w:t>
      </w:r>
      <w:r w:rsidR="00783242" w:rsidRPr="00725DEF">
        <w:rPr>
          <w:rFonts w:ascii="Arial Narrow" w:eastAsia="Times New Roman" w:hAnsi="Arial Narrow" w:cs="Times New Roman"/>
          <w:lang w:eastAsia="pl-PL"/>
        </w:rPr>
        <w:t xml:space="preserve">nr 426/66, 426/104, 426/106 </w:t>
      </w:r>
      <w:r w:rsidRPr="00725DEF">
        <w:rPr>
          <w:rFonts w:ascii="Arial Narrow" w:eastAsia="Times New Roman" w:hAnsi="Arial Narrow" w:cs="Times New Roman"/>
          <w:lang w:eastAsia="pl-PL"/>
        </w:rPr>
        <w:t>oznaczone są symbol</w:t>
      </w:r>
      <w:r w:rsidR="00783242" w:rsidRPr="00725DEF">
        <w:rPr>
          <w:rFonts w:ascii="Arial Narrow" w:eastAsia="Times New Roman" w:hAnsi="Arial Narrow" w:cs="Times New Roman"/>
          <w:lang w:eastAsia="pl-PL"/>
        </w:rPr>
        <w:t>e</w:t>
      </w:r>
      <w:r w:rsidRPr="00725DEF">
        <w:rPr>
          <w:rFonts w:ascii="Arial Narrow" w:eastAsia="Times New Roman" w:hAnsi="Arial Narrow" w:cs="Times New Roman"/>
          <w:lang w:eastAsia="pl-PL"/>
        </w:rPr>
        <w:t>m Ba – tereny przemysłowe</w:t>
      </w:r>
      <w:r w:rsidR="00783242" w:rsidRPr="00725DEF">
        <w:rPr>
          <w:rFonts w:ascii="Arial Narrow" w:eastAsia="Times New Roman" w:hAnsi="Arial Narrow" w:cs="Times New Roman"/>
          <w:lang w:eastAsia="pl-PL"/>
        </w:rPr>
        <w:t>; działka nr 426/100 oznaczona symbolem dr – drogi; 426/102 oznaczona symbolem</w:t>
      </w:r>
      <w:r w:rsidR="00725DEF" w:rsidRPr="00725DEF">
        <w:rPr>
          <w:rFonts w:ascii="Arial Narrow" w:eastAsia="Times New Roman" w:hAnsi="Arial Narrow" w:cs="Times New Roman"/>
          <w:lang w:eastAsia="pl-PL"/>
        </w:rPr>
        <w:t xml:space="preserve"> Bp – grunty zurbanizowane niezabudowane.</w:t>
      </w:r>
    </w:p>
    <w:p w:rsidR="00BE2394" w:rsidRPr="006E615A" w:rsidRDefault="00BE2394" w:rsidP="00EB4D41">
      <w:pPr>
        <w:pStyle w:val="Akapitzlist"/>
        <w:numPr>
          <w:ilvl w:val="0"/>
          <w:numId w:val="8"/>
        </w:numPr>
        <w:spacing w:before="100" w:beforeAutospacing="1" w:after="240" w:line="240" w:lineRule="auto"/>
        <w:ind w:left="714" w:hanging="357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Przedmiotowa nieruchomość nie jest obciążona ograniczonymi prawami rzeczowymi i nie ma przeszkód prawnych w rozporządzaniu nią (zapis w Księdze Wieczystej o prawie pierwokupu przez „</w:t>
      </w:r>
      <w:proofErr w:type="spellStart"/>
      <w:r w:rsidRPr="006E615A">
        <w:rPr>
          <w:rFonts w:ascii="Arial Narrow" w:eastAsia="Times New Roman" w:hAnsi="Arial Narrow" w:cs="Times New Roman"/>
          <w:lang w:eastAsia="pl-PL"/>
        </w:rPr>
        <w:t>Aquakonrad</w:t>
      </w:r>
      <w:proofErr w:type="spellEnd"/>
      <w:r w:rsidRPr="006E615A">
        <w:rPr>
          <w:rFonts w:ascii="Arial Narrow" w:eastAsia="Times New Roman" w:hAnsi="Arial Narrow" w:cs="Times New Roman"/>
          <w:lang w:eastAsia="pl-PL"/>
        </w:rPr>
        <w:t>” S.A. – wpis bezprzedmiotowy, prawo pierwokupu wygasło, uprawniona spółka nie istnieje).</w:t>
      </w:r>
    </w:p>
    <w:p w:rsidR="00BE2394" w:rsidRPr="00EB4D41" w:rsidRDefault="00BE2394" w:rsidP="00EB4D41">
      <w:pPr>
        <w:pStyle w:val="Akapitzlist"/>
        <w:numPr>
          <w:ilvl w:val="0"/>
          <w:numId w:val="17"/>
        </w:numPr>
        <w:spacing w:before="360" w:after="240" w:line="240" w:lineRule="auto"/>
        <w:ind w:left="425" w:hanging="425"/>
        <w:contextualSpacing w:val="0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lastRenderedPageBreak/>
        <w:t>Cena wywoławcza nieruchomości: 156 900,00 zł netto</w:t>
      </w:r>
      <w:r w:rsidRPr="006E615A">
        <w:rPr>
          <w:rFonts w:ascii="Arial Narrow" w:eastAsia="Times New Roman" w:hAnsi="Arial Narrow" w:cs="Times New Roman"/>
          <w:lang w:eastAsia="pl-PL"/>
        </w:rPr>
        <w:t xml:space="preserve"> (słownie: sto pięćdziesiąt sześć tysięcy dziewięćset złotych 00/100).</w:t>
      </w:r>
    </w:p>
    <w:p w:rsidR="00BE2394" w:rsidRPr="00EB4D41" w:rsidRDefault="00BE2394" w:rsidP="00EB4D41">
      <w:pPr>
        <w:pStyle w:val="Akapitzlist"/>
        <w:numPr>
          <w:ilvl w:val="0"/>
          <w:numId w:val="17"/>
        </w:numPr>
        <w:spacing w:before="360" w:after="240" w:line="240" w:lineRule="auto"/>
        <w:ind w:left="425" w:hanging="425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t>Informacja o przetargu:</w:t>
      </w:r>
      <w:r w:rsidRPr="006E615A">
        <w:rPr>
          <w:rFonts w:ascii="Arial Narrow" w:eastAsia="Times New Roman" w:hAnsi="Arial Narrow" w:cs="Times New Roman"/>
          <w:b/>
          <w:lang w:eastAsia="pl-PL"/>
        </w:rPr>
        <w:t> </w:t>
      </w:r>
    </w:p>
    <w:p w:rsidR="00EB4D41" w:rsidRPr="006E615A" w:rsidRDefault="00EB4D41" w:rsidP="00A57F0B">
      <w:pPr>
        <w:pStyle w:val="Akapitzlist"/>
        <w:numPr>
          <w:ilvl w:val="0"/>
          <w:numId w:val="10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Pisemne o</w:t>
      </w:r>
      <w:r w:rsidRPr="006E615A">
        <w:rPr>
          <w:rFonts w:ascii="Arial Narrow" w:eastAsia="Times New Roman" w:hAnsi="Arial Narrow" w:cs="Times New Roman"/>
          <w:bCs/>
          <w:lang w:eastAsia="pl-PL"/>
        </w:rPr>
        <w:t xml:space="preserve">ferty należy składać w siedzibie Spółki przy ul. M. Skłodowskiej – Curie 58, w pokoju nr 1,           w godzinach </w:t>
      </w:r>
      <w:r w:rsidRPr="006E615A">
        <w:rPr>
          <w:rFonts w:ascii="Arial Narrow" w:eastAsia="Times New Roman" w:hAnsi="Arial Narrow" w:cs="Times New Roman"/>
          <w:b/>
          <w:bCs/>
          <w:lang w:eastAsia="pl-PL"/>
        </w:rPr>
        <w:t>od 7:30</w:t>
      </w:r>
      <w:r w:rsidRPr="006E615A">
        <w:rPr>
          <w:rFonts w:ascii="Arial Narrow" w:eastAsia="Times New Roman" w:hAnsi="Arial Narrow" w:cs="Times New Roman"/>
          <w:b/>
          <w:bCs/>
          <w:vertAlign w:val="superscript"/>
          <w:lang w:eastAsia="pl-PL"/>
        </w:rPr>
        <w:t xml:space="preserve"> </w:t>
      </w:r>
      <w:r w:rsidRPr="006E615A">
        <w:rPr>
          <w:rFonts w:ascii="Arial Narrow" w:eastAsia="Times New Roman" w:hAnsi="Arial Narrow" w:cs="Times New Roman"/>
          <w:b/>
          <w:bCs/>
          <w:lang w:eastAsia="pl-PL"/>
        </w:rPr>
        <w:t>do 15:00</w:t>
      </w:r>
      <w:r w:rsidRPr="006E615A">
        <w:rPr>
          <w:rFonts w:ascii="Arial Narrow" w:eastAsia="Times New Roman" w:hAnsi="Arial Narrow" w:cs="Times New Roman"/>
          <w:b/>
          <w:bCs/>
          <w:vertAlign w:val="superscript"/>
          <w:lang w:eastAsia="pl-PL"/>
        </w:rPr>
        <w:t xml:space="preserve">  </w:t>
      </w:r>
      <w:r w:rsidRPr="006E615A">
        <w:rPr>
          <w:rFonts w:ascii="Arial Narrow" w:eastAsia="Times New Roman" w:hAnsi="Arial Narrow" w:cs="Times New Roman"/>
          <w:bCs/>
          <w:lang w:eastAsia="pl-PL"/>
        </w:rPr>
        <w:t xml:space="preserve">do dnia </w:t>
      </w:r>
      <w:r w:rsidR="006124AB">
        <w:rPr>
          <w:rFonts w:ascii="Arial Narrow" w:eastAsia="Times New Roman" w:hAnsi="Arial Narrow" w:cs="Times New Roman"/>
          <w:b/>
          <w:bCs/>
          <w:lang w:eastAsia="pl-PL"/>
        </w:rPr>
        <w:t>1</w:t>
      </w:r>
      <w:r w:rsidR="00677171">
        <w:rPr>
          <w:rFonts w:ascii="Arial Narrow" w:eastAsia="Times New Roman" w:hAnsi="Arial Narrow" w:cs="Times New Roman"/>
          <w:b/>
          <w:bCs/>
          <w:lang w:eastAsia="pl-PL"/>
        </w:rPr>
        <w:t>9</w:t>
      </w:r>
      <w:r w:rsidR="006124AB">
        <w:rPr>
          <w:rFonts w:ascii="Arial Narrow" w:eastAsia="Times New Roman" w:hAnsi="Arial Narrow" w:cs="Times New Roman"/>
          <w:b/>
          <w:bCs/>
          <w:lang w:eastAsia="pl-PL"/>
        </w:rPr>
        <w:t>.06.</w:t>
      </w:r>
      <w:r w:rsidRPr="006E615A">
        <w:rPr>
          <w:rFonts w:ascii="Arial Narrow" w:eastAsia="Times New Roman" w:hAnsi="Arial Narrow" w:cs="Times New Roman"/>
          <w:b/>
          <w:bCs/>
          <w:lang w:eastAsia="pl-PL"/>
        </w:rPr>
        <w:t>2026 r</w:t>
      </w:r>
      <w:r w:rsidRPr="006E615A">
        <w:rPr>
          <w:rFonts w:ascii="Arial Narrow" w:eastAsia="Times New Roman" w:hAnsi="Arial Narrow" w:cs="Times New Roman"/>
          <w:bCs/>
          <w:lang w:eastAsia="pl-PL"/>
        </w:rPr>
        <w:t xml:space="preserve">. lub przesłać pocztą na adres Spółki z dopiskiem </w:t>
      </w:r>
      <w:r w:rsidR="00677171">
        <w:rPr>
          <w:rFonts w:ascii="Arial Narrow" w:eastAsia="Times New Roman" w:hAnsi="Arial Narrow" w:cs="Times New Roman"/>
          <w:bCs/>
          <w:lang w:eastAsia="pl-PL"/>
        </w:rPr>
        <w:br/>
      </w:r>
      <w:r w:rsidRPr="006E615A">
        <w:rPr>
          <w:rFonts w:ascii="Arial Narrow" w:eastAsia="Times New Roman" w:hAnsi="Arial Narrow" w:cs="Times New Roman"/>
          <w:bCs/>
          <w:lang w:eastAsia="pl-PL"/>
        </w:rPr>
        <w:t xml:space="preserve">na kopercie </w:t>
      </w:r>
      <w:r w:rsidRPr="006E615A">
        <w:rPr>
          <w:rFonts w:ascii="Arial Narrow" w:eastAsia="Times New Roman" w:hAnsi="Arial Narrow" w:cs="Times New Roman"/>
          <w:b/>
          <w:bCs/>
          <w:i/>
          <w:lang w:eastAsia="pl-PL"/>
        </w:rPr>
        <w:t>„Zakup nieruchomości</w:t>
      </w:r>
      <w:r>
        <w:rPr>
          <w:rFonts w:ascii="Arial Narrow" w:eastAsia="Times New Roman" w:hAnsi="Arial Narrow" w:cs="Times New Roman"/>
          <w:b/>
          <w:bCs/>
          <w:i/>
          <w:lang w:eastAsia="pl-PL"/>
        </w:rPr>
        <w:t xml:space="preserve"> w</w:t>
      </w:r>
      <w:r w:rsidRPr="006E615A">
        <w:rPr>
          <w:rFonts w:ascii="Arial Narrow" w:eastAsia="Times New Roman" w:hAnsi="Arial Narrow" w:cs="Times New Roman"/>
          <w:b/>
          <w:bCs/>
          <w:i/>
          <w:lang w:eastAsia="pl-PL"/>
        </w:rPr>
        <w:t xml:space="preserve"> Iwin</w:t>
      </w:r>
      <w:r>
        <w:rPr>
          <w:rFonts w:ascii="Arial Narrow" w:eastAsia="Times New Roman" w:hAnsi="Arial Narrow" w:cs="Times New Roman"/>
          <w:b/>
          <w:bCs/>
          <w:i/>
          <w:lang w:eastAsia="pl-PL"/>
        </w:rPr>
        <w:t>ach</w:t>
      </w:r>
      <w:r w:rsidRPr="006E615A">
        <w:rPr>
          <w:rFonts w:ascii="Arial Narrow" w:eastAsia="Times New Roman" w:hAnsi="Arial Narrow" w:cs="Times New Roman"/>
          <w:b/>
          <w:bCs/>
          <w:i/>
          <w:lang w:eastAsia="pl-PL"/>
        </w:rPr>
        <w:t>”</w:t>
      </w:r>
      <w:r w:rsidRPr="006E615A">
        <w:rPr>
          <w:rFonts w:ascii="Arial Narrow" w:eastAsia="Times New Roman" w:hAnsi="Arial Narrow" w:cs="Times New Roman"/>
          <w:bCs/>
          <w:lang w:eastAsia="pl-PL"/>
        </w:rPr>
        <w:t>.</w:t>
      </w:r>
    </w:p>
    <w:p w:rsidR="00EB4D41" w:rsidRPr="006E615A" w:rsidRDefault="00EB4D41" w:rsidP="00A57F0B">
      <w:pPr>
        <w:pStyle w:val="Akapitzlist"/>
        <w:numPr>
          <w:ilvl w:val="0"/>
          <w:numId w:val="10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Warunkiem przystąpienia do przetargu jest wniesienie wadium oraz złożenie pisemnego oświadczenia o</w:t>
      </w:r>
      <w:r>
        <w:rPr>
          <w:rFonts w:ascii="Arial Narrow" w:eastAsia="Times New Roman" w:hAnsi="Arial Narrow" w:cs="Times New Roman"/>
          <w:lang w:eastAsia="pl-PL"/>
        </w:rPr>
        <w:t> </w:t>
      </w:r>
      <w:r w:rsidRPr="006E615A">
        <w:rPr>
          <w:rFonts w:ascii="Arial Narrow" w:eastAsia="Times New Roman" w:hAnsi="Arial Narrow" w:cs="Times New Roman"/>
          <w:lang w:eastAsia="pl-PL"/>
        </w:rPr>
        <w:t>akceptacji „Warunków przetargu” (oświadczenie należy umieścić w kopercie wraz z ofertą</w:t>
      </w:r>
      <w:bookmarkStart w:id="2" w:name="_GoBack"/>
      <w:bookmarkEnd w:id="2"/>
      <w:r w:rsidRPr="006E615A">
        <w:rPr>
          <w:rFonts w:ascii="Arial Narrow" w:eastAsia="Times New Roman" w:hAnsi="Arial Narrow" w:cs="Times New Roman"/>
          <w:lang w:eastAsia="pl-PL"/>
        </w:rPr>
        <w:t>).</w:t>
      </w:r>
    </w:p>
    <w:p w:rsidR="00EB4D41" w:rsidRDefault="00EB4D41" w:rsidP="00A57F0B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714" w:hanging="357"/>
        <w:contextualSpacing w:val="0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B4D41">
        <w:rPr>
          <w:rFonts w:ascii="Arial Narrow" w:eastAsia="Times New Roman" w:hAnsi="Arial Narrow" w:cs="Times New Roman"/>
          <w:lang w:eastAsia="pl-PL"/>
        </w:rPr>
        <w:t xml:space="preserve">Otwarcie ofert nastąpi w dniu </w:t>
      </w:r>
      <w:r w:rsidR="00677171">
        <w:rPr>
          <w:rFonts w:ascii="Arial Narrow" w:eastAsia="Times New Roman" w:hAnsi="Arial Narrow" w:cs="Times New Roman"/>
          <w:b/>
          <w:lang w:eastAsia="pl-PL"/>
        </w:rPr>
        <w:t>23.</w:t>
      </w:r>
      <w:r w:rsidR="006124AB">
        <w:rPr>
          <w:rFonts w:ascii="Arial Narrow" w:eastAsia="Times New Roman" w:hAnsi="Arial Narrow" w:cs="Times New Roman"/>
          <w:b/>
          <w:lang w:eastAsia="pl-PL"/>
        </w:rPr>
        <w:t>06.</w:t>
      </w:r>
      <w:r w:rsidRPr="00EB4D41">
        <w:rPr>
          <w:rFonts w:ascii="Arial Narrow" w:eastAsia="Times New Roman" w:hAnsi="Arial Narrow" w:cs="Times New Roman"/>
          <w:b/>
          <w:lang w:eastAsia="pl-PL"/>
        </w:rPr>
        <w:t>2026 r</w:t>
      </w:r>
      <w:r w:rsidRPr="00EB4D41">
        <w:rPr>
          <w:rFonts w:ascii="Arial Narrow" w:eastAsia="Times New Roman" w:hAnsi="Arial Narrow" w:cs="Times New Roman"/>
          <w:lang w:eastAsia="pl-PL"/>
        </w:rPr>
        <w:t xml:space="preserve">. o godzinie </w:t>
      </w:r>
      <w:r w:rsidRPr="00EB4D41">
        <w:rPr>
          <w:rFonts w:ascii="Arial Narrow" w:eastAsia="Times New Roman" w:hAnsi="Arial Narrow" w:cs="Times New Roman"/>
          <w:b/>
          <w:lang w:eastAsia="pl-PL"/>
        </w:rPr>
        <w:t>12:00.</w:t>
      </w:r>
    </w:p>
    <w:p w:rsidR="00EB4D41" w:rsidRPr="00EB4D41" w:rsidRDefault="00EB4D41" w:rsidP="00EB4D41">
      <w:pPr>
        <w:pStyle w:val="Akapitzlist"/>
        <w:numPr>
          <w:ilvl w:val="0"/>
          <w:numId w:val="17"/>
        </w:numPr>
        <w:spacing w:before="240" w:after="240" w:line="240" w:lineRule="auto"/>
        <w:ind w:left="425" w:hanging="425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EB4D41">
        <w:rPr>
          <w:rFonts w:ascii="Arial Narrow" w:eastAsia="Times New Roman" w:hAnsi="Arial Narrow" w:cs="Times New Roman"/>
          <w:b/>
          <w:bCs/>
          <w:lang w:eastAsia="pl-PL"/>
        </w:rPr>
        <w:t>Informacja o wadium:</w:t>
      </w:r>
    </w:p>
    <w:p w:rsidR="00EB4D41" w:rsidRPr="00ED1DF7" w:rsidRDefault="00EB4D41" w:rsidP="00EB4D41">
      <w:pPr>
        <w:pStyle w:val="Akapitzlist"/>
        <w:numPr>
          <w:ilvl w:val="0"/>
          <w:numId w:val="11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 xml:space="preserve">Wadium w wysokości </w:t>
      </w:r>
      <w:r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5.000,00 zł netto </w:t>
      </w:r>
      <w:r w:rsidRPr="006E615A">
        <w:rPr>
          <w:rFonts w:ascii="Arial Narrow" w:eastAsia="Times New Roman" w:hAnsi="Arial Narrow" w:cs="Times New Roman"/>
          <w:lang w:eastAsia="pl-PL"/>
        </w:rPr>
        <w:t xml:space="preserve">(słownie: pięć tysięcy złotych 00/100) płatne przelewem nie później niż w terminie </w:t>
      </w:r>
      <w:r w:rsidRPr="006E615A">
        <w:rPr>
          <w:rFonts w:ascii="Arial Narrow" w:eastAsia="Times New Roman" w:hAnsi="Arial Narrow" w:cs="Times New Roman"/>
          <w:bCs/>
          <w:lang w:eastAsia="pl-PL"/>
        </w:rPr>
        <w:t>dwóch dni roboczych</w:t>
      </w:r>
      <w:r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 w:rsidRPr="006E615A">
        <w:rPr>
          <w:rFonts w:ascii="Arial Narrow" w:eastAsia="Times New Roman" w:hAnsi="Arial Narrow" w:cs="Times New Roman"/>
          <w:lang w:eastAsia="pl-PL"/>
        </w:rPr>
        <w:t xml:space="preserve">przed ogłoszoną datą przetargu na konto „Energetyka”            </w:t>
      </w:r>
      <w:r w:rsidRPr="00ED1DF7">
        <w:rPr>
          <w:rFonts w:ascii="Arial Narrow" w:eastAsia="Times New Roman" w:hAnsi="Arial Narrow" w:cs="Times New Roman"/>
          <w:lang w:eastAsia="pl-PL"/>
        </w:rPr>
        <w:t xml:space="preserve">sp. z o.o. w Pekao S.A. nr </w:t>
      </w:r>
      <w:r w:rsidRPr="00ED1DF7">
        <w:rPr>
          <w:rFonts w:ascii="Arial Narrow" w:hAnsi="Arial Narrow"/>
          <w:b/>
          <w:bCs/>
        </w:rPr>
        <w:t>32 1240 6292 1111 0010 6194 6711</w:t>
      </w:r>
      <w:r w:rsidRPr="00ED1DF7">
        <w:rPr>
          <w:rFonts w:ascii="Arial Narrow" w:eastAsia="Times New Roman" w:hAnsi="Arial Narrow" w:cs="Times New Roman"/>
          <w:b/>
          <w:bCs/>
          <w:lang w:eastAsia="pl-PL"/>
        </w:rPr>
        <w:t>.</w:t>
      </w:r>
    </w:p>
    <w:p w:rsidR="00EB4D41" w:rsidRPr="006E615A" w:rsidRDefault="00EB4D41" w:rsidP="00EB4D41">
      <w:pPr>
        <w:pStyle w:val="Akapitzlist"/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6E615A">
        <w:rPr>
          <w:rFonts w:ascii="Arial Narrow" w:eastAsia="Times New Roman" w:hAnsi="Arial Narrow" w:cs="Times New Roman"/>
          <w:u w:val="single"/>
          <w:lang w:eastAsia="pl-PL"/>
        </w:rPr>
        <w:t>Za termin wniesienia wadium uważa się dzień wpływu wadium na powyższe konto.</w:t>
      </w:r>
    </w:p>
    <w:p w:rsidR="00EB4D41" w:rsidRPr="00EB4D41" w:rsidRDefault="00EB4D41" w:rsidP="00EB4D41">
      <w:pPr>
        <w:pStyle w:val="Akapitzlist"/>
        <w:numPr>
          <w:ilvl w:val="0"/>
          <w:numId w:val="11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Przelew bezwzględnie należy opisać</w:t>
      </w:r>
      <w:r w:rsidRPr="006E615A">
        <w:rPr>
          <w:rFonts w:ascii="Arial Narrow" w:eastAsia="Times New Roman" w:hAnsi="Arial Narrow" w:cs="Times New Roman"/>
          <w:b/>
          <w:bCs/>
          <w:lang w:eastAsia="pl-PL"/>
        </w:rPr>
        <w:t xml:space="preserve">: </w:t>
      </w:r>
      <w:r w:rsidRPr="006E615A">
        <w:rPr>
          <w:rFonts w:ascii="Arial Narrow" w:eastAsia="Times New Roman" w:hAnsi="Arial Narrow" w:cs="Times New Roman"/>
          <w:b/>
          <w:bCs/>
          <w:i/>
          <w:lang w:eastAsia="pl-PL"/>
        </w:rPr>
        <w:t>„Wadium do zakupu nieruchomości </w:t>
      </w:r>
      <w:r>
        <w:rPr>
          <w:rFonts w:ascii="Arial Narrow" w:eastAsia="Times New Roman" w:hAnsi="Arial Narrow" w:cs="Times New Roman"/>
          <w:b/>
          <w:bCs/>
          <w:i/>
          <w:lang w:eastAsia="pl-PL"/>
        </w:rPr>
        <w:t>w Iwinach</w:t>
      </w:r>
      <w:r w:rsidRPr="006E615A">
        <w:rPr>
          <w:rFonts w:ascii="Arial Narrow" w:eastAsia="Times New Roman" w:hAnsi="Arial Narrow" w:cs="Times New Roman"/>
          <w:b/>
          <w:bCs/>
          <w:i/>
          <w:lang w:eastAsia="pl-PL"/>
        </w:rPr>
        <w:t>”.</w:t>
      </w:r>
    </w:p>
    <w:p w:rsidR="00EB4D41" w:rsidRPr="00EB4D41" w:rsidRDefault="00EB4D41" w:rsidP="00EB4D41">
      <w:pPr>
        <w:pStyle w:val="Akapitzlist"/>
        <w:numPr>
          <w:ilvl w:val="0"/>
          <w:numId w:val="11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EB4D41">
        <w:rPr>
          <w:rFonts w:ascii="Arial Narrow" w:eastAsia="Times New Roman" w:hAnsi="Arial Narrow" w:cs="Times New Roman"/>
          <w:lang w:eastAsia="pl-PL"/>
        </w:rPr>
        <w:t>Sprzedający nie wyraża zgody na wpłatę wadium w formie gotówkowej.</w:t>
      </w:r>
    </w:p>
    <w:p w:rsidR="00EB4D41" w:rsidRPr="006E615A" w:rsidRDefault="00EB4D41" w:rsidP="00EB4D41">
      <w:pPr>
        <w:pStyle w:val="Akapitzlist"/>
        <w:numPr>
          <w:ilvl w:val="0"/>
          <w:numId w:val="11"/>
        </w:numPr>
        <w:spacing w:before="100" w:beforeAutospacing="1" w:after="120" w:line="240" w:lineRule="auto"/>
        <w:ind w:left="714" w:hanging="357"/>
        <w:contextualSpacing w:val="0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Wpłacone wadium:</w:t>
      </w:r>
    </w:p>
    <w:p w:rsidR="00EB4D41" w:rsidRPr="006E615A" w:rsidRDefault="00EB4D41" w:rsidP="00EB4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nie podlega zwrotowi w razie uchylenia się wygrywającego przetarg od zawarcia umowy sprzedaży w formie aktu notarialnego.</w:t>
      </w:r>
    </w:p>
    <w:p w:rsidR="00EB4D41" w:rsidRPr="006E615A" w:rsidRDefault="00EB4D41" w:rsidP="00EB4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wadium złożone przez nabywcę zostanie zaliczone na poczet ceny nabycia.</w:t>
      </w:r>
    </w:p>
    <w:p w:rsidR="00EB4D41" w:rsidRPr="006E615A" w:rsidRDefault="00EB4D41" w:rsidP="00EB4D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wadium wpłacone przez pozostałych uczestników przetargu podlega zwrotowi w ciągu 7 dni od daty zatwierdzenia Protokołu z przetargu.</w:t>
      </w:r>
    </w:p>
    <w:p w:rsidR="00EB4D41" w:rsidRPr="006E615A" w:rsidRDefault="00EB4D41" w:rsidP="00EB4D41">
      <w:pPr>
        <w:pStyle w:val="Akapitzlist"/>
        <w:numPr>
          <w:ilvl w:val="0"/>
          <w:numId w:val="12"/>
        </w:numPr>
        <w:spacing w:after="240" w:line="240" w:lineRule="auto"/>
        <w:ind w:left="1066" w:hanging="357"/>
        <w:contextualSpacing w:val="0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wadium nie podlega oprocentowaniu. </w:t>
      </w:r>
    </w:p>
    <w:p w:rsidR="00EB4D41" w:rsidRPr="00EB4D41" w:rsidRDefault="00EB4D41" w:rsidP="00EB4D41">
      <w:pPr>
        <w:pStyle w:val="Akapitzlist"/>
        <w:numPr>
          <w:ilvl w:val="0"/>
          <w:numId w:val="17"/>
        </w:numPr>
        <w:spacing w:before="360" w:after="240" w:line="240" w:lineRule="auto"/>
        <w:ind w:left="425" w:hanging="425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t>Informacja o umowie sprzedaży</w:t>
      </w:r>
      <w:r>
        <w:rPr>
          <w:rFonts w:ascii="Arial Narrow" w:eastAsia="Times New Roman" w:hAnsi="Arial Narrow" w:cs="Times New Roman"/>
          <w:b/>
          <w:bCs/>
          <w:lang w:eastAsia="pl-PL"/>
        </w:rPr>
        <w:t>:</w:t>
      </w:r>
    </w:p>
    <w:p w:rsidR="00EB4D41" w:rsidRPr="006E615A" w:rsidRDefault="00EB4D41" w:rsidP="00EB4D41">
      <w:pPr>
        <w:pStyle w:val="Akapitzlist"/>
        <w:numPr>
          <w:ilvl w:val="0"/>
          <w:numId w:val="13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O terminie zawarcia umowy w formie aktu notarialnego, wygrywający przetarg, zostanie powiadomiony pisemnie. Kancelaria notarialna, w której dojdzie do podpisania aktu zostanie wybrana jednostronnie przez Sprzedającego.</w:t>
      </w:r>
    </w:p>
    <w:p w:rsidR="00EB4D41" w:rsidRPr="006E615A" w:rsidRDefault="00EB4D41" w:rsidP="00EB4D41">
      <w:pPr>
        <w:pStyle w:val="Akapitzlist"/>
        <w:numPr>
          <w:ilvl w:val="0"/>
          <w:numId w:val="13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 xml:space="preserve">Koszty związane ze sporządzeniem umowy sprzedaży w formie aktu notarialnego, w tym podatku </w:t>
      </w:r>
      <w:r>
        <w:rPr>
          <w:rFonts w:ascii="Arial Narrow" w:eastAsia="Times New Roman" w:hAnsi="Arial Narrow" w:cs="Times New Roman"/>
          <w:lang w:eastAsia="pl-PL"/>
        </w:rPr>
        <w:br/>
      </w:r>
      <w:r w:rsidRPr="006E615A">
        <w:rPr>
          <w:rFonts w:ascii="Arial Narrow" w:eastAsia="Times New Roman" w:hAnsi="Arial Narrow" w:cs="Times New Roman"/>
          <w:lang w:eastAsia="pl-PL"/>
        </w:rPr>
        <w:t>od czynności cywilnoprawnych PCC oraz kosztów związanych z ujawnieniem w księdze wieczystej ponosi nabywca.</w:t>
      </w:r>
    </w:p>
    <w:p w:rsidR="00EB4D41" w:rsidRPr="006E615A" w:rsidRDefault="00EB4D41" w:rsidP="00EB4D41">
      <w:pPr>
        <w:pStyle w:val="Akapitzlist"/>
        <w:numPr>
          <w:ilvl w:val="0"/>
          <w:numId w:val="13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 xml:space="preserve">Protokolarne przekazanie przedmiotu umowy nastąpi w uzgodnionym w umowie sprzedaży terminie </w:t>
      </w:r>
      <w:r>
        <w:rPr>
          <w:rFonts w:ascii="Arial Narrow" w:eastAsia="Times New Roman" w:hAnsi="Arial Narrow" w:cs="Times New Roman"/>
          <w:lang w:eastAsia="pl-PL"/>
        </w:rPr>
        <w:br/>
      </w:r>
      <w:r w:rsidRPr="006E615A">
        <w:rPr>
          <w:rFonts w:ascii="Arial Narrow" w:eastAsia="Times New Roman" w:hAnsi="Arial Narrow" w:cs="Times New Roman"/>
          <w:lang w:eastAsia="pl-PL"/>
        </w:rPr>
        <w:t>po zaksięgowaniu środków wpłaconych przez nabywcę na rachunku bankowym „Energetyka” sp. z o.o.</w:t>
      </w:r>
    </w:p>
    <w:p w:rsidR="00EB4D41" w:rsidRPr="00725DEF" w:rsidRDefault="00EB4D41" w:rsidP="00EB4D41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714" w:hanging="357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b/>
          <w:bCs/>
          <w:lang w:eastAsia="pl-PL"/>
        </w:rPr>
        <w:t>Warunkiem zawarcia umowy sprzedaży prawa użytkowania wieczystego oraz prawa własności                            budowli będzie uzyskanie zgody Zgromadzenia Wspólników „Energetyka” sp. z o.o. na zbycie nieruchomości na podstawie przeprowadzonego postępowania przetargowego.</w:t>
      </w:r>
    </w:p>
    <w:p w:rsidR="00725DEF" w:rsidRPr="006E615A" w:rsidRDefault="00725DEF" w:rsidP="00725DEF">
      <w:pPr>
        <w:pStyle w:val="Akapitzlist"/>
        <w:spacing w:before="100" w:beforeAutospacing="1" w:after="240" w:line="240" w:lineRule="auto"/>
        <w:ind w:left="714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</w:p>
    <w:p w:rsidR="003E53BF" w:rsidRPr="00EB4D41" w:rsidRDefault="003E53BF" w:rsidP="00EB4D41">
      <w:pPr>
        <w:pStyle w:val="Akapitzlist"/>
        <w:numPr>
          <w:ilvl w:val="0"/>
          <w:numId w:val="17"/>
        </w:numPr>
        <w:spacing w:before="360" w:after="240" w:line="240" w:lineRule="auto"/>
        <w:ind w:left="425" w:hanging="425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EB4D41">
        <w:rPr>
          <w:rFonts w:ascii="Arial Narrow" w:eastAsia="Times New Roman" w:hAnsi="Arial Narrow" w:cs="Times New Roman"/>
          <w:b/>
          <w:bCs/>
          <w:lang w:eastAsia="pl-PL"/>
        </w:rPr>
        <w:lastRenderedPageBreak/>
        <w:t>Informacje dodatkowe:</w:t>
      </w:r>
    </w:p>
    <w:p w:rsidR="003E53BF" w:rsidRPr="006E615A" w:rsidRDefault="003E53BF" w:rsidP="00EB4D41">
      <w:pPr>
        <w:pStyle w:val="Akapitzlist"/>
        <w:numPr>
          <w:ilvl w:val="0"/>
          <w:numId w:val="15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„Energetyka” sp. z o.o. zastrzega sobie prawo odwołania przetargu bez podania przyczyny na każdym etapie postępowania.</w:t>
      </w:r>
    </w:p>
    <w:p w:rsidR="003E53BF" w:rsidRPr="006E615A" w:rsidRDefault="003E53BF" w:rsidP="00EB4D41">
      <w:pPr>
        <w:pStyle w:val="Akapitzlist"/>
        <w:numPr>
          <w:ilvl w:val="0"/>
          <w:numId w:val="15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Postępowanie przetargowe nie podlega przepisom ustawy z dnia 11 września 2019 r. - Prawo zamówień publicznych.</w:t>
      </w:r>
    </w:p>
    <w:p w:rsidR="003E53BF" w:rsidRPr="006E615A" w:rsidRDefault="003E53BF" w:rsidP="00EB4D41">
      <w:pPr>
        <w:pStyle w:val="Akapitzlist"/>
        <w:numPr>
          <w:ilvl w:val="0"/>
          <w:numId w:val="15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6E615A">
        <w:rPr>
          <w:rFonts w:ascii="Arial Narrow" w:eastAsia="Times New Roman" w:hAnsi="Arial Narrow" w:cs="Times New Roman"/>
          <w:lang w:eastAsia="pl-PL"/>
        </w:rPr>
        <w:t>Uczestnik  ponosi wszelkie koszty związane z uczestnictwem w przetargu nieograniczonym, w tym koszty złożenia i przygotowania oferty, niezależnie od wyniku postępowania.</w:t>
      </w:r>
    </w:p>
    <w:p w:rsidR="009E03FF" w:rsidRPr="00725DEF" w:rsidRDefault="003E53BF" w:rsidP="00EB4D41">
      <w:pPr>
        <w:pStyle w:val="Akapitzlist"/>
        <w:numPr>
          <w:ilvl w:val="0"/>
          <w:numId w:val="15"/>
        </w:numPr>
        <w:spacing w:before="100" w:beforeAutospacing="1" w:after="240" w:line="240" w:lineRule="auto"/>
        <w:contextualSpacing w:val="0"/>
        <w:jc w:val="both"/>
        <w:rPr>
          <w:rFonts w:ascii="Arial Narrow" w:eastAsia="Times New Roman" w:hAnsi="Arial Narrow" w:cs="Times New Roman"/>
          <w:lang w:eastAsia="pl-PL"/>
        </w:rPr>
      </w:pPr>
      <w:r w:rsidRPr="00725DEF">
        <w:rPr>
          <w:rFonts w:ascii="Arial Narrow" w:eastAsia="Times New Roman" w:hAnsi="Arial Narrow" w:cs="Times New Roman"/>
          <w:lang w:eastAsia="pl-PL"/>
        </w:rPr>
        <w:t xml:space="preserve">Dodatkowe informacje dotyczące przedmiotu sprzedaży można uzyskać w dni robocze w godzinach </w:t>
      </w:r>
      <w:r w:rsidR="00EB4D41" w:rsidRPr="00725DEF">
        <w:rPr>
          <w:rFonts w:ascii="Arial Narrow" w:eastAsia="Times New Roman" w:hAnsi="Arial Narrow" w:cs="Times New Roman"/>
          <w:lang w:eastAsia="pl-PL"/>
        </w:rPr>
        <w:br/>
      </w:r>
      <w:r w:rsidRPr="00725DEF">
        <w:rPr>
          <w:rFonts w:ascii="Arial Narrow" w:eastAsia="Times New Roman" w:hAnsi="Arial Narrow" w:cs="Times New Roman"/>
          <w:lang w:eastAsia="pl-PL"/>
        </w:rPr>
        <w:t>od 8:00</w:t>
      </w:r>
      <w:r w:rsidRPr="00725DEF">
        <w:rPr>
          <w:rFonts w:ascii="Arial Narrow" w:eastAsia="Times New Roman" w:hAnsi="Arial Narrow" w:cs="Times New Roman"/>
          <w:vertAlign w:val="superscript"/>
          <w:lang w:eastAsia="pl-PL"/>
        </w:rPr>
        <w:t xml:space="preserve">  </w:t>
      </w:r>
      <w:r w:rsidRPr="00725DEF">
        <w:rPr>
          <w:rFonts w:ascii="Arial Narrow" w:eastAsia="Times New Roman" w:hAnsi="Arial Narrow" w:cs="Times New Roman"/>
          <w:lang w:eastAsia="pl-PL"/>
        </w:rPr>
        <w:t>do 14:00</w:t>
      </w:r>
      <w:r w:rsidRPr="00725DEF">
        <w:rPr>
          <w:rFonts w:ascii="Arial Narrow" w:eastAsia="Times New Roman" w:hAnsi="Arial Narrow" w:cs="Times New Roman"/>
          <w:vertAlign w:val="superscript"/>
          <w:lang w:eastAsia="pl-PL"/>
        </w:rPr>
        <w:t xml:space="preserve"> </w:t>
      </w:r>
      <w:r w:rsidRPr="00725DEF">
        <w:rPr>
          <w:rFonts w:ascii="Arial Narrow" w:eastAsia="Times New Roman" w:hAnsi="Arial Narrow" w:cs="Times New Roman"/>
          <w:lang w:eastAsia="pl-PL"/>
        </w:rPr>
        <w:t>pod nr telefonu 76 / 74 69 1</w:t>
      </w:r>
      <w:r w:rsidR="00725DEF" w:rsidRPr="00725DEF">
        <w:rPr>
          <w:rFonts w:ascii="Arial Narrow" w:eastAsia="Times New Roman" w:hAnsi="Arial Narrow" w:cs="Times New Roman"/>
          <w:lang w:eastAsia="pl-PL"/>
        </w:rPr>
        <w:t>46</w:t>
      </w:r>
      <w:r w:rsidRPr="00725DEF">
        <w:rPr>
          <w:rFonts w:ascii="Arial Narrow" w:eastAsia="Times New Roman" w:hAnsi="Arial Narrow" w:cs="Times New Roman"/>
          <w:lang w:eastAsia="pl-PL"/>
        </w:rPr>
        <w:t xml:space="preserve">, kom. </w:t>
      </w:r>
      <w:r w:rsidR="00725DEF" w:rsidRPr="00725DEF">
        <w:rPr>
          <w:rFonts w:ascii="Arial Narrow" w:eastAsia="Times New Roman" w:hAnsi="Arial Narrow" w:cs="Times New Roman"/>
          <w:lang w:eastAsia="pl-PL"/>
        </w:rPr>
        <w:t>887 883 415</w:t>
      </w:r>
      <w:r w:rsidRPr="00725DEF">
        <w:rPr>
          <w:rFonts w:ascii="Arial Narrow" w:eastAsia="Times New Roman" w:hAnsi="Arial Narrow" w:cs="Times New Roman"/>
          <w:lang w:eastAsia="pl-PL"/>
        </w:rPr>
        <w:t xml:space="preserve">, e-mail: </w:t>
      </w:r>
      <w:hyperlink r:id="rId7" w:history="1">
        <w:r w:rsidR="00725DEF" w:rsidRPr="00725DEF">
          <w:rPr>
            <w:rStyle w:val="Hipercze"/>
            <w:rFonts w:ascii="Arial Narrow" w:eastAsia="Times New Roman" w:hAnsi="Arial Narrow" w:cs="Times New Roman"/>
            <w:color w:val="auto"/>
            <w:lang w:eastAsia="pl-PL"/>
          </w:rPr>
          <w:t>dradom@energetyka.lubin.pl</w:t>
        </w:r>
      </w:hyperlink>
      <w:r w:rsidR="00725DEF" w:rsidRPr="00725DEF">
        <w:rPr>
          <w:rFonts w:ascii="Arial Narrow" w:eastAsia="Times New Roman" w:hAnsi="Arial Narrow" w:cs="Times New Roman"/>
          <w:lang w:eastAsia="pl-PL"/>
        </w:rPr>
        <w:t>.</w:t>
      </w:r>
    </w:p>
    <w:p w:rsidR="00725DEF" w:rsidRDefault="00725DEF" w:rsidP="00725DEF">
      <w:pPr>
        <w:spacing w:before="100" w:beforeAutospacing="1" w:after="240" w:line="240" w:lineRule="auto"/>
        <w:jc w:val="both"/>
        <w:rPr>
          <w:rFonts w:ascii="Arial Narrow" w:eastAsia="Times New Roman" w:hAnsi="Arial Narrow" w:cs="Times New Roman"/>
          <w:color w:val="FF0000"/>
          <w:lang w:eastAsia="pl-PL"/>
        </w:rPr>
      </w:pPr>
    </w:p>
    <w:tbl>
      <w:tblPr>
        <w:tblW w:w="11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2475"/>
        <w:gridCol w:w="4950"/>
      </w:tblGrid>
      <w:tr w:rsidR="00725DEF" w:rsidTr="00725DEF">
        <w:trPr>
          <w:tblCellSpacing w:w="0" w:type="dxa"/>
        </w:trPr>
        <w:tc>
          <w:tcPr>
            <w:tcW w:w="4050" w:type="dxa"/>
          </w:tcPr>
          <w:p w:rsidR="00725DEF" w:rsidRDefault="00725DE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75" w:type="dxa"/>
          </w:tcPr>
          <w:p w:rsidR="00725DEF" w:rsidRDefault="00725DE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50" w:type="dxa"/>
          </w:tcPr>
          <w:p w:rsidR="00725DEF" w:rsidRDefault="00725DE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5DEF" w:rsidRDefault="00725DEF" w:rsidP="00725DEF">
      <w:pPr>
        <w:pStyle w:val="NormalnyWeb"/>
        <w:spacing w:before="0" w:beforeAutospacing="0" w:after="0" w:afterAutospacing="0"/>
        <w:rPr>
          <w:rFonts w:ascii="Arial" w:eastAsiaTheme="minorHAnsi" w:hAnsi="Arial" w:cs="Arial"/>
        </w:rPr>
      </w:pPr>
      <w:r>
        <w:rPr>
          <w:rFonts w:ascii="Arial" w:hAnsi="Arial" w:cs="Arial"/>
        </w:rPr>
        <w:t> </w:t>
      </w:r>
    </w:p>
    <w:p w:rsidR="00725DEF" w:rsidRDefault="00725DEF" w:rsidP="00725DEF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25DEF" w:rsidRPr="00725DEF" w:rsidRDefault="00725DEF" w:rsidP="00725DEF">
      <w:pPr>
        <w:spacing w:before="100" w:beforeAutospacing="1" w:after="240" w:line="240" w:lineRule="auto"/>
        <w:jc w:val="both"/>
        <w:rPr>
          <w:rFonts w:ascii="Arial Narrow" w:eastAsia="Times New Roman" w:hAnsi="Arial Narrow" w:cs="Times New Roman"/>
          <w:color w:val="FF0000"/>
          <w:lang w:eastAsia="pl-PL"/>
        </w:rPr>
      </w:pPr>
    </w:p>
    <w:sectPr w:rsidR="00725DEF" w:rsidRPr="00725DEF" w:rsidSect="00EB4D41">
      <w:headerReference w:type="even" r:id="rId8"/>
      <w:headerReference w:type="default" r:id="rId9"/>
      <w:headerReference w:type="first" r:id="rId10"/>
      <w:type w:val="evenPage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A92" w:rsidRDefault="00D41A92" w:rsidP="00CE53E9">
      <w:pPr>
        <w:spacing w:after="0" w:line="240" w:lineRule="auto"/>
      </w:pPr>
      <w:r>
        <w:separator/>
      </w:r>
    </w:p>
  </w:endnote>
  <w:endnote w:type="continuationSeparator" w:id="0">
    <w:p w:rsidR="00D41A92" w:rsidRDefault="00D41A92" w:rsidP="00CE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A92" w:rsidRDefault="00D41A92" w:rsidP="00CE53E9">
      <w:pPr>
        <w:spacing w:after="0" w:line="240" w:lineRule="auto"/>
      </w:pPr>
      <w:r>
        <w:separator/>
      </w:r>
    </w:p>
  </w:footnote>
  <w:footnote w:type="continuationSeparator" w:id="0">
    <w:p w:rsidR="00D41A92" w:rsidRDefault="00D41A92" w:rsidP="00CE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D41" w:rsidRDefault="00EB4D41" w:rsidP="00EB4D4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3E9" w:rsidRDefault="00CE53E9">
    <w:pPr>
      <w:pStyle w:val="Nagwek"/>
    </w:pPr>
    <w:r>
      <w:t xml:space="preserve">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D41" w:rsidRDefault="00EB4D41" w:rsidP="00EB4D41">
    <w:pPr>
      <w:pStyle w:val="Nagwek"/>
      <w:jc w:val="center"/>
    </w:pPr>
    <w:r w:rsidRPr="00424989">
      <w:rPr>
        <w:rFonts w:ascii="Bookman Old Style" w:hAnsi="Bookman Old Style"/>
        <w:noProof/>
        <w:sz w:val="18"/>
        <w:szCs w:val="18"/>
        <w:lang w:eastAsia="pl-PL"/>
      </w:rPr>
      <w:drawing>
        <wp:inline distT="0" distB="0" distL="0" distR="0" wp14:anchorId="453D45F1" wp14:editId="5AB1161A">
          <wp:extent cx="2956560" cy="670560"/>
          <wp:effectExtent l="0" t="0" r="0" b="0"/>
          <wp:docPr id="1" name="Obraz 1" descr="LOGO ENERGETYKA 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ERGETYKA 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423A"/>
    <w:multiLevelType w:val="multilevel"/>
    <w:tmpl w:val="BC1E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0825"/>
    <w:multiLevelType w:val="multilevel"/>
    <w:tmpl w:val="48A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A21FA"/>
    <w:multiLevelType w:val="hybridMultilevel"/>
    <w:tmpl w:val="53B0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3EA9"/>
    <w:multiLevelType w:val="multilevel"/>
    <w:tmpl w:val="B9F8F162"/>
    <w:lvl w:ilvl="0">
      <w:start w:val="1"/>
      <w:numFmt w:val="decimal"/>
      <w:lvlText w:val="%1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pStyle w:val="Nagwek3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4" w15:restartNumberingAfterBreak="0">
    <w:nsid w:val="3F0A3229"/>
    <w:multiLevelType w:val="hybridMultilevel"/>
    <w:tmpl w:val="56A684C4"/>
    <w:lvl w:ilvl="0" w:tplc="C22A7B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5BA5"/>
    <w:multiLevelType w:val="hybridMultilevel"/>
    <w:tmpl w:val="5054F9B8"/>
    <w:lvl w:ilvl="0" w:tplc="C8A4B7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A037D"/>
    <w:multiLevelType w:val="hybridMultilevel"/>
    <w:tmpl w:val="3ADA4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4F22"/>
    <w:multiLevelType w:val="hybridMultilevel"/>
    <w:tmpl w:val="12DA7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01003"/>
    <w:multiLevelType w:val="multilevel"/>
    <w:tmpl w:val="2962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D4F72B4"/>
    <w:multiLevelType w:val="hybridMultilevel"/>
    <w:tmpl w:val="29A027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F390F"/>
    <w:multiLevelType w:val="hybridMultilevel"/>
    <w:tmpl w:val="7EB8B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2655AA"/>
    <w:multiLevelType w:val="multilevel"/>
    <w:tmpl w:val="55DA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19C6C13"/>
    <w:multiLevelType w:val="multilevel"/>
    <w:tmpl w:val="C5AE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C6919"/>
    <w:multiLevelType w:val="hybridMultilevel"/>
    <w:tmpl w:val="8668AC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3E717C"/>
    <w:multiLevelType w:val="hybridMultilevel"/>
    <w:tmpl w:val="0B2E2D0A"/>
    <w:lvl w:ilvl="0" w:tplc="A224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E502F"/>
    <w:multiLevelType w:val="hybridMultilevel"/>
    <w:tmpl w:val="4FF60A1E"/>
    <w:lvl w:ilvl="0" w:tplc="930006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10BEF"/>
    <w:multiLevelType w:val="hybridMultilevel"/>
    <w:tmpl w:val="7E90FBEA"/>
    <w:lvl w:ilvl="0" w:tplc="7CC61D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3"/>
  </w:num>
  <w:num w:numId="13">
    <w:abstractNumId w:val="2"/>
  </w:num>
  <w:num w:numId="14">
    <w:abstractNumId w:val="9"/>
  </w:num>
  <w:num w:numId="15">
    <w:abstractNumId w:val="5"/>
  </w:num>
  <w:num w:numId="16">
    <w:abstractNumId w:val="16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FF"/>
    <w:rsid w:val="000318F7"/>
    <w:rsid w:val="0005788F"/>
    <w:rsid w:val="00096A6A"/>
    <w:rsid w:val="000B0FE8"/>
    <w:rsid w:val="000F7BA8"/>
    <w:rsid w:val="00112FAA"/>
    <w:rsid w:val="001201DC"/>
    <w:rsid w:val="00150296"/>
    <w:rsid w:val="00157435"/>
    <w:rsid w:val="00185BB8"/>
    <w:rsid w:val="001A4B80"/>
    <w:rsid w:val="001B1F87"/>
    <w:rsid w:val="0023197A"/>
    <w:rsid w:val="002712BD"/>
    <w:rsid w:val="00272AFC"/>
    <w:rsid w:val="002B570C"/>
    <w:rsid w:val="002C5681"/>
    <w:rsid w:val="002D3DCB"/>
    <w:rsid w:val="002F4B92"/>
    <w:rsid w:val="00307DE6"/>
    <w:rsid w:val="00313393"/>
    <w:rsid w:val="00313538"/>
    <w:rsid w:val="00325F96"/>
    <w:rsid w:val="00352DDE"/>
    <w:rsid w:val="00366D38"/>
    <w:rsid w:val="003809D5"/>
    <w:rsid w:val="003E53BF"/>
    <w:rsid w:val="004042FF"/>
    <w:rsid w:val="0045291F"/>
    <w:rsid w:val="0045556F"/>
    <w:rsid w:val="004670B9"/>
    <w:rsid w:val="004C404F"/>
    <w:rsid w:val="004D2501"/>
    <w:rsid w:val="005225E2"/>
    <w:rsid w:val="0052293C"/>
    <w:rsid w:val="00522E64"/>
    <w:rsid w:val="00523B99"/>
    <w:rsid w:val="00527012"/>
    <w:rsid w:val="00574518"/>
    <w:rsid w:val="00597370"/>
    <w:rsid w:val="005D5067"/>
    <w:rsid w:val="005F23A6"/>
    <w:rsid w:val="00606393"/>
    <w:rsid w:val="006124AB"/>
    <w:rsid w:val="0064358B"/>
    <w:rsid w:val="00667BDF"/>
    <w:rsid w:val="00677171"/>
    <w:rsid w:val="006958CE"/>
    <w:rsid w:val="00696F05"/>
    <w:rsid w:val="006B1296"/>
    <w:rsid w:val="006E615A"/>
    <w:rsid w:val="006F712C"/>
    <w:rsid w:val="00700CD9"/>
    <w:rsid w:val="00701B91"/>
    <w:rsid w:val="00725DEF"/>
    <w:rsid w:val="00744EAA"/>
    <w:rsid w:val="00766FEE"/>
    <w:rsid w:val="00783242"/>
    <w:rsid w:val="007C3013"/>
    <w:rsid w:val="007C70FC"/>
    <w:rsid w:val="007D64B0"/>
    <w:rsid w:val="007E367D"/>
    <w:rsid w:val="007F6829"/>
    <w:rsid w:val="0083527A"/>
    <w:rsid w:val="00875652"/>
    <w:rsid w:val="00876B37"/>
    <w:rsid w:val="008B2CB0"/>
    <w:rsid w:val="008E47F4"/>
    <w:rsid w:val="008F5973"/>
    <w:rsid w:val="00927EDD"/>
    <w:rsid w:val="009A3E32"/>
    <w:rsid w:val="009A54C1"/>
    <w:rsid w:val="009A550F"/>
    <w:rsid w:val="009C4EC1"/>
    <w:rsid w:val="009C761D"/>
    <w:rsid w:val="009E03FF"/>
    <w:rsid w:val="00A153E5"/>
    <w:rsid w:val="00A1682C"/>
    <w:rsid w:val="00A272FB"/>
    <w:rsid w:val="00A57F0B"/>
    <w:rsid w:val="00A61CF3"/>
    <w:rsid w:val="00A663CC"/>
    <w:rsid w:val="00B14813"/>
    <w:rsid w:val="00B3068E"/>
    <w:rsid w:val="00B408BF"/>
    <w:rsid w:val="00B40D42"/>
    <w:rsid w:val="00B43F6B"/>
    <w:rsid w:val="00B77B6E"/>
    <w:rsid w:val="00BC3C91"/>
    <w:rsid w:val="00BE2394"/>
    <w:rsid w:val="00C3080D"/>
    <w:rsid w:val="00C56882"/>
    <w:rsid w:val="00CA034A"/>
    <w:rsid w:val="00CE53E9"/>
    <w:rsid w:val="00D01042"/>
    <w:rsid w:val="00D022E0"/>
    <w:rsid w:val="00D41A92"/>
    <w:rsid w:val="00D521D0"/>
    <w:rsid w:val="00D75B4E"/>
    <w:rsid w:val="00D86981"/>
    <w:rsid w:val="00DA238F"/>
    <w:rsid w:val="00DD336D"/>
    <w:rsid w:val="00E00B7B"/>
    <w:rsid w:val="00E1384D"/>
    <w:rsid w:val="00E17060"/>
    <w:rsid w:val="00E53B70"/>
    <w:rsid w:val="00E71964"/>
    <w:rsid w:val="00E748C8"/>
    <w:rsid w:val="00E83D06"/>
    <w:rsid w:val="00EB4D41"/>
    <w:rsid w:val="00EC4187"/>
    <w:rsid w:val="00ED1DF7"/>
    <w:rsid w:val="00ED626C"/>
    <w:rsid w:val="00F22184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E3DD5C1"/>
  <w15:chartTrackingRefBased/>
  <w15:docId w15:val="{23445377-1AAB-46CA-A2AE-9209E1A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D626C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color w:val="2E74B5" w:themeColor="accent1" w:themeShade="BF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C404F"/>
    <w:pPr>
      <w:keepNext/>
      <w:keepLines/>
      <w:numPr>
        <w:ilvl w:val="2"/>
        <w:numId w:val="3"/>
      </w:numPr>
      <w:spacing w:before="160" w:after="120"/>
      <w:jc w:val="both"/>
      <w:outlineLvl w:val="2"/>
    </w:pPr>
    <w:rPr>
      <w:rFonts w:ascii="Arial Narrow" w:eastAsiaTheme="majorEastAsia" w:hAnsi="Arial Narrow" w:cstheme="majorBidi"/>
      <w:color w:val="1F4E79" w:themeColor="accent1" w:themeShade="80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ED626C"/>
    <w:pPr>
      <w:keepNext/>
      <w:keepLines/>
      <w:numPr>
        <w:ilvl w:val="3"/>
        <w:numId w:val="4"/>
      </w:numPr>
      <w:spacing w:before="160" w:after="120"/>
      <w:ind w:left="1572" w:hanging="864"/>
      <w:outlineLvl w:val="3"/>
    </w:pPr>
    <w:rPr>
      <w:rFonts w:ascii="Arial Narrow" w:eastAsiaTheme="majorEastAsia" w:hAnsi="Arial Narrow" w:cstheme="majorBidi"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68E"/>
    <w:rPr>
      <w:rFonts w:ascii="Arial Narrow" w:eastAsiaTheme="majorEastAsia" w:hAnsi="Arial Narrow" w:cstheme="majorBidi"/>
      <w:color w:val="2E74B5" w:themeColor="accent1" w:themeShade="BF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C404F"/>
    <w:rPr>
      <w:rFonts w:ascii="Arial Narrow" w:eastAsiaTheme="majorEastAsia" w:hAnsi="Arial Narrow" w:cstheme="majorBidi"/>
      <w:color w:val="1F4E79" w:themeColor="accent1" w:themeShade="8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D626C"/>
    <w:rPr>
      <w:rFonts w:ascii="Arial Narrow" w:eastAsiaTheme="majorEastAsia" w:hAnsi="Arial Narrow" w:cstheme="majorBidi"/>
      <w:iCs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9E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o-vuoto">
    <w:name w:val="paragrafo-vuoto"/>
    <w:basedOn w:val="Normalny"/>
    <w:rsid w:val="009E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03F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03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3E9"/>
  </w:style>
  <w:style w:type="paragraph" w:styleId="Stopka">
    <w:name w:val="footer"/>
    <w:basedOn w:val="Normalny"/>
    <w:link w:val="StopkaZnak"/>
    <w:uiPriority w:val="99"/>
    <w:unhideWhenUsed/>
    <w:rsid w:val="00CE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3E9"/>
  </w:style>
  <w:style w:type="paragraph" w:styleId="Tekstdymka">
    <w:name w:val="Balloon Text"/>
    <w:basedOn w:val="Normalny"/>
    <w:link w:val="TekstdymkaZnak"/>
    <w:uiPriority w:val="99"/>
    <w:semiHidden/>
    <w:unhideWhenUsed/>
    <w:rsid w:val="006F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12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E615A"/>
  </w:style>
  <w:style w:type="character" w:styleId="Nierozpoznanawzmianka">
    <w:name w:val="Unresolved Mention"/>
    <w:basedOn w:val="Domylnaczcionkaakapitu"/>
    <w:uiPriority w:val="99"/>
    <w:semiHidden/>
    <w:unhideWhenUsed/>
    <w:rsid w:val="00725D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5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dom@energetyka.lub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Radom Dominika</cp:lastModifiedBy>
  <cp:revision>12</cp:revision>
  <cp:lastPrinted>2025-10-03T09:11:00Z</cp:lastPrinted>
  <dcterms:created xsi:type="dcterms:W3CDTF">2026-03-10T10:54:00Z</dcterms:created>
  <dcterms:modified xsi:type="dcterms:W3CDTF">2026-05-12T10:14:00Z</dcterms:modified>
</cp:coreProperties>
</file>